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605D06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06 ноября</w:t>
      </w:r>
      <w:r w:rsidR="00C03B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130 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B11494">
        <w:rPr>
          <w:rFonts w:ascii="Times New Roman" w:hAnsi="Times New Roman"/>
          <w:b/>
          <w:sz w:val="24"/>
          <w:szCs w:val="24"/>
        </w:rPr>
        <w:t>»</w:t>
      </w:r>
      <w:r w:rsidR="003B3DB0">
        <w:rPr>
          <w:rFonts w:ascii="Times New Roman" w:hAnsi="Times New Roman"/>
          <w:b/>
          <w:sz w:val="24"/>
          <w:szCs w:val="24"/>
        </w:rPr>
        <w:t xml:space="preserve"> за </w:t>
      </w:r>
      <w:r w:rsidR="00605D06">
        <w:rPr>
          <w:rFonts w:ascii="Times New Roman" w:hAnsi="Times New Roman"/>
          <w:b/>
          <w:sz w:val="24"/>
          <w:szCs w:val="24"/>
        </w:rPr>
        <w:t xml:space="preserve">девять месяцев </w:t>
      </w:r>
      <w:r w:rsidR="00C03B6A">
        <w:rPr>
          <w:rFonts w:ascii="Times New Roman" w:hAnsi="Times New Roman"/>
          <w:b/>
          <w:sz w:val="24"/>
          <w:szCs w:val="24"/>
        </w:rPr>
        <w:t>2020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605D06">
        <w:rPr>
          <w:rFonts w:ascii="Times New Roman" w:hAnsi="Times New Roman"/>
          <w:sz w:val="28"/>
          <w:szCs w:val="28"/>
        </w:rPr>
        <w:t xml:space="preserve">девять месяцев </w:t>
      </w:r>
      <w:r w:rsidR="00C03B6A">
        <w:rPr>
          <w:rFonts w:ascii="Times New Roman" w:hAnsi="Times New Roman"/>
          <w:sz w:val="28"/>
          <w:szCs w:val="28"/>
        </w:rPr>
        <w:t>2020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605D06">
        <w:rPr>
          <w:rFonts w:ascii="Times New Roman" w:eastAsia="Times New Roman" w:hAnsi="Times New Roman" w:cs="Calibri"/>
          <w:sz w:val="24"/>
          <w:szCs w:val="24"/>
        </w:rPr>
        <w:t>06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605D06">
        <w:rPr>
          <w:rFonts w:ascii="Times New Roman" w:eastAsia="Times New Roman" w:hAnsi="Times New Roman" w:cs="Calibri"/>
          <w:sz w:val="24"/>
          <w:szCs w:val="24"/>
        </w:rPr>
        <w:t>11</w:t>
      </w:r>
      <w:r w:rsidR="00C03B6A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605D06">
        <w:rPr>
          <w:rFonts w:ascii="Times New Roman" w:eastAsia="Times New Roman" w:hAnsi="Times New Roman" w:cs="Calibri"/>
          <w:sz w:val="24"/>
          <w:szCs w:val="24"/>
        </w:rPr>
        <w:t>130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605D06">
        <w:rPr>
          <w:rFonts w:ascii="Times New Roman" w:hAnsi="Times New Roman" w:cs="Times New Roman"/>
          <w:sz w:val="24"/>
          <w:szCs w:val="24"/>
        </w:rPr>
        <w:t xml:space="preserve"> за девять месяцев</w:t>
      </w:r>
      <w:r w:rsidR="00C03B6A">
        <w:rPr>
          <w:rFonts w:ascii="Times New Roman" w:hAnsi="Times New Roman" w:cs="Times New Roman"/>
          <w:sz w:val="24"/>
          <w:szCs w:val="24"/>
        </w:rPr>
        <w:t xml:space="preserve"> 2020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(в сопоставимых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1.2.</w:t>
            </w:r>
          </w:p>
          <w:p w:rsidR="00C73055" w:rsidRPr="007E79F2" w:rsidRDefault="00C73055" w:rsidP="00C730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 общем объеме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и исполнение бюджета поселения на основе программно-целевых принципов (планирование, контроль </w:t>
            </w:r>
            <w:proofErr w:type="gramEnd"/>
          </w:p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бюджета, формируемых в рамках муниципальных программ, к общему объему расходов бюджета составит в 2030 году более 99 проценто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</w:p>
        </w:tc>
        <w:tc>
          <w:tcPr>
            <w:tcW w:w="993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3055" w:rsidRPr="007E79F2" w:rsidTr="00DC2580">
        <w:trPr>
          <w:trHeight w:val="20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268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нормативных правовых актов Администрации Роговского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</w:tcPr>
          <w:p w:rsidR="00883B15" w:rsidRPr="007E79F2" w:rsidRDefault="00C03B6A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3B15" w:rsidRPr="007E79F2" w:rsidRDefault="00883B15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83B15" w:rsidRPr="007E79F2" w:rsidRDefault="00883B1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8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8E41C8" w:rsidRPr="007E79F2" w:rsidRDefault="008E41C8" w:rsidP="00883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исполнения расходов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экономики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обеспечение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E41C8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2.3.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8E41C8" w:rsidRPr="007E79F2" w:rsidRDefault="008E41C8" w:rsidP="008E41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</w:tcPr>
          <w:p w:rsidR="008E41C8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2.1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83B15" w:rsidRPr="007E79F2" w:rsidRDefault="00883B1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нормативного правового регулирования, методологического обеспечения бюджетного процесса, своевременной 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883B15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3.1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700" w:type="dxa"/>
          </w:tcPr>
          <w:p w:rsidR="008E41C8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</w:tcPr>
          <w:p w:rsidR="008E41C8" w:rsidRPr="007E79F2" w:rsidRDefault="00605D06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8" w:type="dxa"/>
          </w:tcPr>
          <w:p w:rsidR="00976BBA" w:rsidRDefault="00605D06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03B6A" w:rsidRPr="007E79F2" w:rsidRDefault="00C03B6A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03B6A" w:rsidRPr="007E79F2" w:rsidRDefault="00C03B6A" w:rsidP="00891BC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93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559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700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3" w:type="dxa"/>
          </w:tcPr>
          <w:p w:rsidR="00C03B6A" w:rsidRPr="007E79F2" w:rsidRDefault="00605D06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558" w:type="dxa"/>
          </w:tcPr>
          <w:p w:rsidR="00C03B6A" w:rsidRDefault="00605D06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4.1</w:t>
            </w:r>
            <w:r w:rsidR="0027246C" w:rsidRPr="007E79F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B5D11" w:rsidRPr="007E79F2" w:rsidTr="00DC2580">
        <w:trPr>
          <w:tblCellSpacing w:w="5" w:type="nil"/>
        </w:trPr>
        <w:tc>
          <w:tcPr>
            <w:tcW w:w="426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5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EB5D11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700" w:type="dxa"/>
          </w:tcPr>
          <w:p w:rsidR="00EB5D11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3" w:type="dxa"/>
          </w:tcPr>
          <w:p w:rsidR="00EB5D11" w:rsidRPr="007E79F2" w:rsidRDefault="00605D06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558" w:type="dxa"/>
          </w:tcPr>
          <w:p w:rsidR="00EB5D11" w:rsidRPr="007E79F2" w:rsidRDefault="00605D06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>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3B6A" w:rsidRPr="007E79F2" w:rsidRDefault="00C03B6A" w:rsidP="00E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5.1.</w:t>
            </w:r>
          </w:p>
          <w:p w:rsidR="00C03B6A" w:rsidRPr="007E79F2" w:rsidRDefault="00C03B6A" w:rsidP="00EB5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Иные межбюджетные трансферты на обеспечение полномочий по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C03B6A" w:rsidRPr="007E79F2" w:rsidRDefault="00C03B6A" w:rsidP="00EB5D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03B6A" w:rsidRPr="007E79F2" w:rsidRDefault="00C03B6A" w:rsidP="00EB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</w:t>
            </w: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</w:tcPr>
          <w:p w:rsidR="00C03B6A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03B6A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700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93" w:type="dxa"/>
          </w:tcPr>
          <w:p w:rsidR="00C03B6A" w:rsidRPr="007E79F2" w:rsidRDefault="00605D06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558" w:type="dxa"/>
          </w:tcPr>
          <w:p w:rsidR="00C03B6A" w:rsidRPr="007E79F2" w:rsidRDefault="00605D06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асходы будущих периодов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46C" w:rsidRPr="007E79F2" w:rsidRDefault="0027246C" w:rsidP="00D22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5.1.1</w:t>
            </w:r>
          </w:p>
        </w:tc>
        <w:tc>
          <w:tcPr>
            <w:tcW w:w="226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27246C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700" w:type="dxa"/>
          </w:tcPr>
          <w:p w:rsidR="0027246C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3" w:type="dxa"/>
          </w:tcPr>
          <w:p w:rsidR="0027246C" w:rsidRPr="007E79F2" w:rsidRDefault="00C7201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558" w:type="dxa"/>
          </w:tcPr>
          <w:p w:rsidR="0027246C" w:rsidRPr="007E79F2" w:rsidRDefault="00C7201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12,8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  <w:vMerge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03B6A" w:rsidRPr="007E79F2" w:rsidRDefault="00C03B6A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700" w:type="dxa"/>
          </w:tcPr>
          <w:p w:rsidR="00C03B6A" w:rsidRPr="007E79F2" w:rsidRDefault="00C03B6A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993" w:type="dxa"/>
          </w:tcPr>
          <w:p w:rsidR="00C03B6A" w:rsidRPr="007E79F2" w:rsidRDefault="00C72018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558" w:type="dxa"/>
          </w:tcPr>
          <w:p w:rsidR="00C03B6A" w:rsidRPr="007E79F2" w:rsidRDefault="00C72018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12,8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</w:t>
            </w:r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 xml:space="preserve">по итогам </w:t>
      </w:r>
      <w:r w:rsidR="00C72018">
        <w:rPr>
          <w:rFonts w:ascii="Times New Roman" w:hAnsi="Times New Roman"/>
          <w:sz w:val="28"/>
          <w:szCs w:val="28"/>
        </w:rPr>
        <w:t>девяти месяцев</w:t>
      </w:r>
      <w:r w:rsidR="00C03B6A">
        <w:rPr>
          <w:rFonts w:ascii="Times New Roman" w:hAnsi="Times New Roman"/>
          <w:sz w:val="28"/>
          <w:szCs w:val="28"/>
        </w:rPr>
        <w:t xml:space="preserve"> 2020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51,1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C72018">
        <w:rPr>
          <w:rFonts w:ascii="Times New Roman" w:eastAsia="Times New Roman" w:hAnsi="Times New Roman"/>
          <w:sz w:val="28"/>
          <w:szCs w:val="28"/>
          <w:lang w:eastAsia="ru-RU"/>
        </w:rPr>
        <w:t>38,3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C96C8A">
        <w:rPr>
          <w:rFonts w:ascii="Times New Roman" w:eastAsia="Times New Roman" w:hAnsi="Times New Roman"/>
          <w:sz w:val="28"/>
          <w:szCs w:val="28"/>
          <w:lang w:eastAsia="ru-RU"/>
        </w:rPr>
        <w:t>75,0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4C71D5" w:rsidRDefault="003B3DB0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E79F2" w:rsidRPr="004C71D5">
        <w:rPr>
          <w:rFonts w:ascii="Times New Roman" w:hAnsi="Times New Roman" w:cs="Times New Roman"/>
          <w:color w:val="000000"/>
          <w:sz w:val="28"/>
          <w:szCs w:val="28"/>
        </w:rPr>
        <w:t>Долгосрочное финансовое планирование</w:t>
      </w:r>
      <w:r w:rsidR="00C03B6A">
        <w:rPr>
          <w:rFonts w:ascii="Times New Roman" w:hAnsi="Times New Roman" w:cs="Times New Roman"/>
          <w:sz w:val="28"/>
          <w:szCs w:val="28"/>
        </w:rPr>
        <w:t>» на 2020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</w:t>
      </w:r>
      <w:r w:rsidRPr="004C71D5">
        <w:rPr>
          <w:rFonts w:ascii="Times New Roman" w:hAnsi="Times New Roman" w:cs="Times New Roman"/>
          <w:sz w:val="28"/>
          <w:szCs w:val="28"/>
        </w:rPr>
        <w:t xml:space="preserve"> тыс. рублей. Реализация основных мероприятий </w:t>
      </w:r>
      <w:r w:rsidR="00BB7F73" w:rsidRPr="004C71D5">
        <w:rPr>
          <w:rFonts w:ascii="Times New Roman" w:hAnsi="Times New Roman" w:cs="Times New Roman"/>
          <w:sz w:val="28"/>
          <w:szCs w:val="28"/>
        </w:rPr>
        <w:t>подпрограммы принято считать как действующие в процессе исполнения подпрограммы, не требующих финансирования</w:t>
      </w:r>
      <w:r w:rsidRPr="004C71D5">
        <w:rPr>
          <w:rFonts w:ascii="Times New Roman" w:hAnsi="Times New Roman" w:cs="Times New Roman"/>
          <w:sz w:val="28"/>
          <w:szCs w:val="28"/>
        </w:rPr>
        <w:t>.</w:t>
      </w:r>
    </w:p>
    <w:p w:rsidR="003B3DB0" w:rsidRPr="004C71D5" w:rsidRDefault="003B3DB0" w:rsidP="00BB7F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="00C03B6A">
        <w:rPr>
          <w:rFonts w:ascii="Times New Roman" w:hAnsi="Times New Roman" w:cs="Times New Roman"/>
          <w:sz w:val="28"/>
          <w:szCs w:val="28"/>
        </w:rPr>
        <w:t>» на 2020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 xml:space="preserve">0,0 тыс. рублей. </w:t>
      </w:r>
      <w:r w:rsidR="004C71D5" w:rsidRPr="004C71D5">
        <w:rPr>
          <w:rFonts w:ascii="Times New Roman" w:hAnsi="Times New Roman" w:cs="Times New Roman"/>
          <w:sz w:val="28"/>
          <w:szCs w:val="28"/>
        </w:rPr>
        <w:t>Реализация основных мероприятий подпрограммы принято считать как действующие в процессе исполнения подпрограммы, не требующих финансирования</w:t>
      </w:r>
      <w:r w:rsidR="00BB7F73" w:rsidRPr="004C71D5">
        <w:rPr>
          <w:rFonts w:ascii="Times New Roman" w:hAnsi="Times New Roman" w:cs="Times New Roman"/>
          <w:sz w:val="28"/>
          <w:szCs w:val="28"/>
        </w:rPr>
        <w:t>.</w:t>
      </w:r>
    </w:p>
    <w:p w:rsidR="0072541F" w:rsidRPr="004C71D5" w:rsidRDefault="0072541F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="00C03B6A">
        <w:rPr>
          <w:rFonts w:ascii="Times New Roman" w:hAnsi="Times New Roman" w:cs="Times New Roman"/>
          <w:sz w:val="28"/>
          <w:szCs w:val="28"/>
        </w:rPr>
        <w:t>» на 2020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 тыс. рублей. Реализация основных мероприятий подпрограммы принято считать как действующие в процессе исполнения подпрограммы, не требующих финансирования.</w:t>
      </w:r>
    </w:p>
    <w:p w:rsidR="0072541F" w:rsidRPr="004C71D5" w:rsidRDefault="0072541F" w:rsidP="00C96C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2020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C03B6A">
        <w:rPr>
          <w:rFonts w:ascii="Times New Roman" w:hAnsi="Times New Roman"/>
          <w:sz w:val="28"/>
          <w:szCs w:val="28"/>
        </w:rPr>
        <w:t>25,2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96C8A">
        <w:rPr>
          <w:rFonts w:ascii="Times New Roman" w:hAnsi="Times New Roman"/>
          <w:sz w:val="28"/>
          <w:szCs w:val="28"/>
        </w:rPr>
        <w:t>18,9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C96C8A">
        <w:rPr>
          <w:rFonts w:ascii="Times New Roman" w:hAnsi="Times New Roman"/>
          <w:sz w:val="28"/>
          <w:szCs w:val="28"/>
        </w:rPr>
        <w:t>75,0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2020 год составляет 25,9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96C8A">
        <w:rPr>
          <w:rFonts w:ascii="Times New Roman" w:hAnsi="Times New Roman"/>
          <w:sz w:val="28"/>
          <w:szCs w:val="28"/>
        </w:rPr>
        <w:t>19,4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C96C8A">
        <w:rPr>
          <w:rFonts w:ascii="Times New Roman" w:hAnsi="Times New Roman"/>
          <w:sz w:val="28"/>
          <w:szCs w:val="28"/>
        </w:rPr>
        <w:t>74,9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</w:t>
      </w:r>
      <w:r w:rsidRPr="004C71D5">
        <w:rPr>
          <w:rFonts w:ascii="Times New Roman" w:hAnsi="Times New Roman"/>
          <w:sz w:val="28"/>
          <w:szCs w:val="28"/>
        </w:rPr>
        <w:lastRenderedPageBreak/>
        <w:t>реализации мероприятий будет произведен по окончанию сроков по плановым ассигнованиям.</w:t>
      </w:r>
    </w:p>
    <w:p w:rsidR="003B3DB0" w:rsidRPr="004C71D5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Обеспечение долгосрочной сбалансированности и устойчивости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6C136A" w:rsidRPr="004C71D5">
        <w:rPr>
          <w:rFonts w:ascii="Times New Roman" w:hAnsi="Times New Roman"/>
          <w:color w:val="000000"/>
          <w:sz w:val="28"/>
          <w:szCs w:val="28"/>
        </w:rPr>
        <w:t>Долгосрочное финансовое планирование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6C136A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72541F" w:rsidRPr="004C71D5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бюджетом муниципального района и совершенствование системы предоставления межбюджетных трансфертов бюджета поселения» 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41" w:rsidRDefault="00984441" w:rsidP="008A1698">
      <w:pPr>
        <w:spacing w:after="0" w:line="240" w:lineRule="auto"/>
      </w:pPr>
      <w:r>
        <w:separator/>
      </w:r>
    </w:p>
  </w:endnote>
  <w:endnote w:type="continuationSeparator" w:id="0">
    <w:p w:rsidR="00984441" w:rsidRDefault="0098444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984441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41" w:rsidRDefault="00984441" w:rsidP="008A1698">
      <w:pPr>
        <w:spacing w:after="0" w:line="240" w:lineRule="auto"/>
      </w:pPr>
      <w:r>
        <w:separator/>
      </w:r>
    </w:p>
  </w:footnote>
  <w:footnote w:type="continuationSeparator" w:id="0">
    <w:p w:rsidR="00984441" w:rsidRDefault="00984441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C4E1D"/>
    <w:rsid w:val="000D4793"/>
    <w:rsid w:val="000E343C"/>
    <w:rsid w:val="001A3A31"/>
    <w:rsid w:val="001E1AEF"/>
    <w:rsid w:val="001E4B42"/>
    <w:rsid w:val="001F6B0C"/>
    <w:rsid w:val="00232BEB"/>
    <w:rsid w:val="0027246C"/>
    <w:rsid w:val="0029768B"/>
    <w:rsid w:val="002D6C41"/>
    <w:rsid w:val="00303637"/>
    <w:rsid w:val="0034373F"/>
    <w:rsid w:val="003B3DB0"/>
    <w:rsid w:val="003D1173"/>
    <w:rsid w:val="00406DFE"/>
    <w:rsid w:val="00450722"/>
    <w:rsid w:val="00455056"/>
    <w:rsid w:val="004A566C"/>
    <w:rsid w:val="004C71D5"/>
    <w:rsid w:val="004D3D38"/>
    <w:rsid w:val="00575F4F"/>
    <w:rsid w:val="005B3668"/>
    <w:rsid w:val="0060552E"/>
    <w:rsid w:val="00605D06"/>
    <w:rsid w:val="006634EB"/>
    <w:rsid w:val="006C136A"/>
    <w:rsid w:val="00724EA6"/>
    <w:rsid w:val="0072541F"/>
    <w:rsid w:val="0075264D"/>
    <w:rsid w:val="0075544E"/>
    <w:rsid w:val="0079755B"/>
    <w:rsid w:val="007C14CB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76BBA"/>
    <w:rsid w:val="00984441"/>
    <w:rsid w:val="00A2553A"/>
    <w:rsid w:val="00A347C2"/>
    <w:rsid w:val="00A61A41"/>
    <w:rsid w:val="00A6567B"/>
    <w:rsid w:val="00A81E88"/>
    <w:rsid w:val="00A837AA"/>
    <w:rsid w:val="00AA70CD"/>
    <w:rsid w:val="00AB4BB1"/>
    <w:rsid w:val="00B11494"/>
    <w:rsid w:val="00B77262"/>
    <w:rsid w:val="00BB7F73"/>
    <w:rsid w:val="00BE18E3"/>
    <w:rsid w:val="00C03B6A"/>
    <w:rsid w:val="00C6616A"/>
    <w:rsid w:val="00C72018"/>
    <w:rsid w:val="00C73055"/>
    <w:rsid w:val="00C96C8A"/>
    <w:rsid w:val="00CA70E8"/>
    <w:rsid w:val="00CB47F1"/>
    <w:rsid w:val="00D203FE"/>
    <w:rsid w:val="00D549F5"/>
    <w:rsid w:val="00D92DB4"/>
    <w:rsid w:val="00DB2A70"/>
    <w:rsid w:val="00DC1112"/>
    <w:rsid w:val="00DF7143"/>
    <w:rsid w:val="00E9781C"/>
    <w:rsid w:val="00EB03CE"/>
    <w:rsid w:val="00EB5D11"/>
    <w:rsid w:val="00ED4887"/>
    <w:rsid w:val="00F5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CA948-091B-4BAB-BFC6-1E20FCDE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2020-09-14T13:31:00Z</cp:lastPrinted>
  <dcterms:created xsi:type="dcterms:W3CDTF">2019-12-10T11:32:00Z</dcterms:created>
  <dcterms:modified xsi:type="dcterms:W3CDTF">2020-12-15T07:49:00Z</dcterms:modified>
</cp:coreProperties>
</file>